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C5" w:rsidRDefault="003413C5" w:rsidP="003413C5">
      <w:pPr>
        <w:pStyle w:val="Titre"/>
        <w:rPr>
          <w:rFonts w:ascii="Bookman Old Style" w:hAnsi="Bookman Old Style" w:cs="Tahoma"/>
          <w:szCs w:val="20"/>
        </w:rPr>
      </w:pPr>
      <w:r>
        <w:rPr>
          <w:rFonts w:ascii="Bookman Old Style" w:hAnsi="Bookman Old Style" w:cs="Tahoma"/>
          <w:szCs w:val="20"/>
        </w:rPr>
        <w:t>ROYAUME DU MAROC</w:t>
      </w:r>
    </w:p>
    <w:p w:rsidR="003413C5" w:rsidRDefault="003413C5" w:rsidP="003413C5">
      <w:pPr>
        <w:jc w:val="center"/>
        <w:rPr>
          <w:rFonts w:ascii="Bookman Old Style" w:hAnsi="Bookman Old Style" w:cs="Tahoma"/>
          <w:b/>
          <w:sz w:val="22"/>
        </w:rPr>
      </w:pPr>
      <w:r>
        <w:rPr>
          <w:rFonts w:ascii="Bookman Old Style" w:hAnsi="Bookman Old Style" w:cs="Tahoma"/>
          <w:b/>
          <w:sz w:val="22"/>
        </w:rPr>
        <w:t>Marocaine des Jeux et des Sports</w:t>
      </w:r>
    </w:p>
    <w:p w:rsidR="003413C5" w:rsidRDefault="003413C5" w:rsidP="003413C5">
      <w:pPr>
        <w:pStyle w:val="Titre2"/>
        <w:rPr>
          <w:rFonts w:ascii="Bookman Old Style" w:hAnsi="Bookman Old Style" w:cs="Tahoma"/>
          <w:sz w:val="22"/>
        </w:rPr>
      </w:pPr>
      <w:r>
        <w:rPr>
          <w:rFonts w:ascii="Bookman Old Style" w:hAnsi="Bookman Old Style" w:cs="Tahoma"/>
          <w:sz w:val="22"/>
        </w:rPr>
        <w:t>AVIS D’APPEL D’OFFRES OUVERT</w:t>
      </w:r>
    </w:p>
    <w:p w:rsidR="003413C5" w:rsidRDefault="00927951" w:rsidP="003413C5">
      <w:pPr>
        <w:jc w:val="center"/>
        <w:rPr>
          <w:rFonts w:ascii="Bookman Old Style" w:hAnsi="Bookman Old Style" w:cs="Tahoma"/>
          <w:sz w:val="22"/>
        </w:rPr>
      </w:pPr>
      <w:r>
        <w:rPr>
          <w:rFonts w:ascii="Bookman Old Style" w:hAnsi="Bookman Old Style" w:cs="Tahoma"/>
          <w:b/>
          <w:sz w:val="22"/>
        </w:rPr>
        <w:t>N° 02</w:t>
      </w:r>
      <w:bookmarkStart w:id="0" w:name="_GoBack"/>
      <w:bookmarkEnd w:id="0"/>
      <w:r w:rsidR="006304EE">
        <w:rPr>
          <w:rFonts w:ascii="Bookman Old Style" w:hAnsi="Bookman Old Style" w:cs="Tahoma"/>
          <w:b/>
          <w:sz w:val="22"/>
        </w:rPr>
        <w:t>/2015</w:t>
      </w:r>
    </w:p>
    <w:p w:rsidR="003413C5" w:rsidRDefault="003413C5" w:rsidP="003413C5">
      <w:pPr>
        <w:jc w:val="center"/>
        <w:rPr>
          <w:rFonts w:ascii="Bookman Old Style" w:hAnsi="Bookman Old Style" w:cs="Tahoma"/>
          <w:sz w:val="22"/>
        </w:rPr>
      </w:pPr>
      <w:r>
        <w:rPr>
          <w:rFonts w:ascii="Bookman Old Style" w:hAnsi="Bookman Old Style" w:cs="Tahoma"/>
          <w:sz w:val="22"/>
        </w:rPr>
        <w:t>(Séance publique)</w:t>
      </w:r>
    </w:p>
    <w:p w:rsidR="003413C5" w:rsidRDefault="003413C5" w:rsidP="003413C5">
      <w:pPr>
        <w:jc w:val="both"/>
        <w:rPr>
          <w:rFonts w:ascii="Bookman Old Style" w:hAnsi="Bookman Old Style" w:cs="Tahoma"/>
          <w:sz w:val="22"/>
        </w:rPr>
      </w:pPr>
    </w:p>
    <w:p w:rsidR="003413C5" w:rsidRPr="00790A6D" w:rsidRDefault="003413C5" w:rsidP="00927951">
      <w:pPr>
        <w:jc w:val="both"/>
        <w:rPr>
          <w:rFonts w:ascii="Calibri" w:hAnsi="Calibri" w:cs="Calibri"/>
          <w:b/>
          <w:bCs/>
        </w:rPr>
      </w:pPr>
      <w:r w:rsidRPr="00790A6D">
        <w:rPr>
          <w:rFonts w:ascii="Calibri" w:hAnsi="Calibri"/>
        </w:rPr>
        <w:t xml:space="preserve">Le </w:t>
      </w:r>
      <w:r w:rsidR="00BE0774">
        <w:rPr>
          <w:rFonts w:ascii="Calibri" w:hAnsi="Calibri"/>
        </w:rPr>
        <w:t>25</w:t>
      </w:r>
      <w:r w:rsidRPr="00790A6D">
        <w:rPr>
          <w:rFonts w:ascii="Calibri" w:hAnsi="Calibri"/>
        </w:rPr>
        <w:t>/</w:t>
      </w:r>
      <w:r w:rsidR="006304EE">
        <w:rPr>
          <w:rFonts w:ascii="Calibri" w:hAnsi="Calibri"/>
        </w:rPr>
        <w:t>11/2015</w:t>
      </w:r>
      <w:r w:rsidRPr="00790A6D">
        <w:rPr>
          <w:rFonts w:ascii="Calibri" w:hAnsi="Calibri"/>
        </w:rPr>
        <w:t xml:space="preserve"> à 10 heures, il sera procédé, dans la salle des réunions de La Marocaine des Jeux et des Sports,  33, Boulevard RACHIDI à Casablanca, à l’ouverture des plis </w:t>
      </w:r>
      <w:r w:rsidR="007740D6">
        <w:rPr>
          <w:rFonts w:ascii="Calibri" w:hAnsi="Calibri"/>
        </w:rPr>
        <w:t xml:space="preserve">de l’appel d’offres </w:t>
      </w:r>
      <w:bookmarkStart w:id="1" w:name="OLE_LINK4"/>
      <w:r w:rsidRPr="00790A6D">
        <w:rPr>
          <w:rFonts w:ascii="Calibri" w:hAnsi="Calibri"/>
        </w:rPr>
        <w:t xml:space="preserve">relatif </w:t>
      </w:r>
      <w:bookmarkEnd w:id="1"/>
      <w:r w:rsidR="006304EE">
        <w:rPr>
          <w:rFonts w:ascii="Calibri" w:hAnsi="Calibri" w:cs="Calibri"/>
        </w:rPr>
        <w:t>au</w:t>
      </w:r>
      <w:r w:rsidR="006304EE" w:rsidRPr="00AB4152">
        <w:rPr>
          <w:rFonts w:ascii="Calibri" w:hAnsi="Calibri" w:cs="Calibri"/>
        </w:rPr>
        <w:t xml:space="preserve"> </w:t>
      </w:r>
      <w:r w:rsidR="006304EE" w:rsidRPr="006304EE">
        <w:rPr>
          <w:rFonts w:ascii="Calibri" w:hAnsi="Calibri" w:cs="Calibri"/>
          <w:b/>
          <w:bCs/>
        </w:rPr>
        <w:t xml:space="preserve">choix d’un prestataire pour </w:t>
      </w:r>
      <w:r w:rsidR="00927951">
        <w:rPr>
          <w:rFonts w:ascii="Calibri" w:hAnsi="Calibri" w:cs="Calibri"/>
          <w:b/>
          <w:bCs/>
        </w:rPr>
        <w:t xml:space="preserve">l’installation d’un système d’information de gestion des ressources humaines </w:t>
      </w:r>
      <w:r w:rsidR="006304EE" w:rsidRPr="006304EE">
        <w:rPr>
          <w:rFonts w:ascii="Calibri" w:hAnsi="Calibri" w:cs="Calibri"/>
          <w:b/>
          <w:bCs/>
        </w:rPr>
        <w:t>pour la Marocaine des Jeux et des Sports</w:t>
      </w:r>
      <w:r w:rsidR="006304EE">
        <w:rPr>
          <w:rFonts w:ascii="Calibri" w:hAnsi="Calibri" w:cs="Calibri"/>
          <w:b/>
          <w:bCs/>
        </w:rPr>
        <w:t>.</w:t>
      </w:r>
    </w:p>
    <w:p w:rsidR="003413C5" w:rsidRPr="00790A6D" w:rsidRDefault="003413C5" w:rsidP="003413C5">
      <w:pPr>
        <w:tabs>
          <w:tab w:val="left" w:pos="1830"/>
        </w:tabs>
        <w:jc w:val="both"/>
        <w:rPr>
          <w:rFonts w:ascii="Calibri" w:hAnsi="Calibri" w:cs="Tahoma"/>
        </w:rPr>
      </w:pPr>
      <w:r w:rsidRPr="00790A6D">
        <w:rPr>
          <w:rFonts w:ascii="Calibri" w:hAnsi="Calibri" w:cs="Tahoma"/>
        </w:rPr>
        <w:tab/>
      </w:r>
    </w:p>
    <w:p w:rsidR="003413C5" w:rsidRPr="00790A6D" w:rsidRDefault="003413C5" w:rsidP="003413C5">
      <w:pPr>
        <w:jc w:val="both"/>
        <w:rPr>
          <w:rFonts w:ascii="Calibri" w:hAnsi="Calibri" w:cs="Tahoma"/>
        </w:rPr>
      </w:pPr>
      <w:r w:rsidRPr="00790A6D">
        <w:rPr>
          <w:rFonts w:ascii="Calibri" w:hAnsi="Calibri" w:cs="Tahoma"/>
        </w:rPr>
        <w:t>Le dossier d’appel d’offres peut être r</w:t>
      </w:r>
      <w:r w:rsidR="00600714">
        <w:rPr>
          <w:rFonts w:ascii="Calibri" w:hAnsi="Calibri" w:cs="Tahoma"/>
        </w:rPr>
        <w:t xml:space="preserve">etiré au service des achats, </w:t>
      </w:r>
      <w:r w:rsidR="00610789">
        <w:rPr>
          <w:rFonts w:ascii="Calibri" w:hAnsi="Calibri" w:cs="Tahoma"/>
        </w:rPr>
        <w:t xml:space="preserve">1èr </w:t>
      </w:r>
      <w:r w:rsidRPr="00790A6D">
        <w:rPr>
          <w:rFonts w:ascii="Calibri" w:hAnsi="Calibri" w:cs="Tahoma"/>
        </w:rPr>
        <w:t>étage</w:t>
      </w:r>
      <w:r w:rsidRPr="00790A6D">
        <w:rPr>
          <w:rFonts w:ascii="Calibri" w:hAnsi="Calibri" w:cs="Tahoma"/>
          <w:bCs/>
        </w:rPr>
        <w:t xml:space="preserve">,  33, </w:t>
      </w:r>
      <w:r w:rsidRPr="00790A6D">
        <w:rPr>
          <w:rFonts w:ascii="Calibri" w:hAnsi="Calibri"/>
          <w:bCs/>
        </w:rPr>
        <w:t>Boulevard RACHIDI à Casablanca</w:t>
      </w:r>
      <w:r w:rsidRPr="00790A6D">
        <w:rPr>
          <w:rFonts w:ascii="Calibri" w:hAnsi="Calibri" w:cs="Tahoma"/>
        </w:rPr>
        <w:t xml:space="preserve">, il peut également être téléchargé à partir du portail des marchés de l’état </w:t>
      </w:r>
      <w:hyperlink r:id="rId8" w:history="1">
        <w:r w:rsidRPr="00790A6D">
          <w:rPr>
            <w:rStyle w:val="Lienhypertexte"/>
            <w:rFonts w:ascii="Calibri" w:hAnsi="Calibri" w:cs="Tahoma"/>
          </w:rPr>
          <w:t>www.marchéspublics.gov.ma</w:t>
        </w:r>
      </w:hyperlink>
      <w:r w:rsidRPr="00790A6D">
        <w:rPr>
          <w:rFonts w:ascii="Calibri" w:hAnsi="Calibri" w:cs="Tahoma"/>
        </w:rPr>
        <w:t>, ou du site web de la MDJS</w:t>
      </w:r>
    </w:p>
    <w:p w:rsidR="003413C5" w:rsidRPr="00790A6D" w:rsidRDefault="003413C5" w:rsidP="003413C5">
      <w:pPr>
        <w:jc w:val="both"/>
        <w:rPr>
          <w:rFonts w:ascii="Calibri" w:hAnsi="Calibri" w:cs="Tahoma"/>
        </w:rPr>
      </w:pPr>
    </w:p>
    <w:p w:rsidR="003413C5" w:rsidRPr="00790A6D" w:rsidRDefault="003413C5" w:rsidP="003413C5">
      <w:pPr>
        <w:jc w:val="both"/>
        <w:rPr>
          <w:rFonts w:ascii="Calibri" w:hAnsi="Calibri"/>
          <w:b/>
          <w:bCs/>
        </w:rPr>
      </w:pPr>
      <w:r w:rsidRPr="00790A6D">
        <w:rPr>
          <w:rFonts w:ascii="Calibri" w:hAnsi="Calibri"/>
          <w:b/>
          <w:bCs/>
        </w:rPr>
        <w:t>Le cautionnement prov</w:t>
      </w:r>
      <w:r w:rsidR="006304EE">
        <w:rPr>
          <w:rFonts w:ascii="Calibri" w:hAnsi="Calibri"/>
          <w:b/>
          <w:bCs/>
        </w:rPr>
        <w:t>isoire est fixé à la somme de (10 000,00 DHS) Dix</w:t>
      </w:r>
      <w:r w:rsidRPr="00790A6D">
        <w:rPr>
          <w:rFonts w:ascii="Calibri" w:hAnsi="Calibri"/>
          <w:b/>
          <w:bCs/>
        </w:rPr>
        <w:t xml:space="preserve"> Mille dirhams;</w:t>
      </w:r>
    </w:p>
    <w:p w:rsidR="003413C5" w:rsidRPr="00790A6D" w:rsidRDefault="003413C5" w:rsidP="003413C5">
      <w:pPr>
        <w:pStyle w:val="Corpsdetexte3"/>
        <w:rPr>
          <w:rFonts w:ascii="Calibri" w:hAnsi="Calibri" w:cs="Tahoma"/>
          <w:sz w:val="24"/>
          <w:szCs w:val="24"/>
        </w:rPr>
      </w:pPr>
      <w:r w:rsidRPr="00790A6D">
        <w:rPr>
          <w:rFonts w:ascii="Calibri" w:hAnsi="Calibri" w:cs="Tahoma"/>
          <w:sz w:val="24"/>
          <w:szCs w:val="24"/>
        </w:rPr>
        <w:t xml:space="preserve">Le contenu ainsi que la présentation des dossiers des concurrents doivent être conformes aux dispositions des articles 29 et 30 du règlement fixant les conditions et les formes de passation des marchés de </w:t>
      </w:r>
      <w:smartTag w:uri="urn:schemas-microsoft-com:office:smarttags" w:element="PersonName">
        <w:smartTagPr>
          <w:attr w:name="ProductID" w:val="La Marocaine"/>
        </w:smartTagPr>
        <w:r w:rsidRPr="00790A6D">
          <w:rPr>
            <w:rFonts w:ascii="Calibri" w:hAnsi="Calibri" w:cs="Tahoma"/>
            <w:sz w:val="24"/>
            <w:szCs w:val="24"/>
          </w:rPr>
          <w:t>la Marocaine</w:t>
        </w:r>
      </w:smartTag>
      <w:r w:rsidRPr="00790A6D">
        <w:rPr>
          <w:rFonts w:ascii="Calibri" w:hAnsi="Calibri" w:cs="Tahoma"/>
          <w:sz w:val="24"/>
          <w:szCs w:val="24"/>
        </w:rPr>
        <w:t xml:space="preserve"> des Jeux et des Sports ainsi que certaines dispositions relatives à leur contrôle et à leur gestion.</w:t>
      </w:r>
    </w:p>
    <w:p w:rsidR="003413C5" w:rsidRPr="00790A6D" w:rsidRDefault="003413C5" w:rsidP="003413C5">
      <w:pPr>
        <w:jc w:val="both"/>
        <w:rPr>
          <w:rFonts w:ascii="Calibri" w:hAnsi="Calibri" w:cs="Tahoma"/>
          <w:b/>
          <w:u w:val="single"/>
        </w:rPr>
      </w:pPr>
    </w:p>
    <w:p w:rsidR="003413C5" w:rsidRPr="00790A6D" w:rsidRDefault="003413C5" w:rsidP="003413C5">
      <w:pPr>
        <w:jc w:val="both"/>
        <w:rPr>
          <w:rFonts w:ascii="Calibri" w:hAnsi="Calibri" w:cs="Tahoma"/>
          <w:b/>
          <w:u w:val="single"/>
        </w:rPr>
      </w:pPr>
      <w:r w:rsidRPr="00790A6D">
        <w:rPr>
          <w:rFonts w:ascii="Calibri" w:hAnsi="Calibri" w:cs="Tahoma"/>
          <w:b/>
          <w:u w:val="single"/>
        </w:rPr>
        <w:t xml:space="preserve">Les concurrents peuvent : </w:t>
      </w:r>
    </w:p>
    <w:p w:rsidR="003413C5" w:rsidRPr="00790A6D" w:rsidRDefault="003413C5" w:rsidP="003413C5">
      <w:pPr>
        <w:numPr>
          <w:ilvl w:val="0"/>
          <w:numId w:val="1"/>
        </w:numPr>
        <w:jc w:val="both"/>
        <w:rPr>
          <w:rFonts w:ascii="Calibri" w:hAnsi="Calibri" w:cs="Tahoma"/>
        </w:rPr>
      </w:pPr>
      <w:r w:rsidRPr="00790A6D">
        <w:rPr>
          <w:rFonts w:ascii="Calibri" w:hAnsi="Calibri" w:cs="Tahoma"/>
        </w:rPr>
        <w:t xml:space="preserve">Soit déposer contre récépissé leurs plis au bureau sus-indiqué ; </w:t>
      </w:r>
    </w:p>
    <w:p w:rsidR="003413C5" w:rsidRPr="00790A6D" w:rsidRDefault="003413C5" w:rsidP="003413C5">
      <w:pPr>
        <w:numPr>
          <w:ilvl w:val="0"/>
          <w:numId w:val="1"/>
        </w:numPr>
        <w:jc w:val="both"/>
        <w:rPr>
          <w:rFonts w:ascii="Calibri" w:hAnsi="Calibri" w:cs="Tahoma"/>
        </w:rPr>
      </w:pPr>
      <w:r w:rsidRPr="00790A6D">
        <w:rPr>
          <w:rFonts w:ascii="Calibri" w:hAnsi="Calibri" w:cs="Tahoma"/>
        </w:rPr>
        <w:t>Soit les envoyer par courrier recommandé avec accusé de réception au bureau précité ;</w:t>
      </w:r>
    </w:p>
    <w:p w:rsidR="003413C5" w:rsidRPr="00790A6D" w:rsidRDefault="003413C5" w:rsidP="003413C5">
      <w:pPr>
        <w:numPr>
          <w:ilvl w:val="0"/>
          <w:numId w:val="1"/>
        </w:numPr>
        <w:jc w:val="both"/>
        <w:rPr>
          <w:rFonts w:ascii="Calibri" w:hAnsi="Calibri" w:cs="Tahoma"/>
        </w:rPr>
      </w:pPr>
      <w:r w:rsidRPr="00790A6D">
        <w:rPr>
          <w:rFonts w:ascii="Calibri" w:hAnsi="Calibri" w:cs="Tahoma"/>
        </w:rPr>
        <w:t>Soit les remettre au président de la commission d’appel d’offres au début de la séance et avant l’ouverture des plis.</w:t>
      </w:r>
    </w:p>
    <w:p w:rsidR="003413C5" w:rsidRPr="0099716F" w:rsidRDefault="003413C5" w:rsidP="003413C5">
      <w:pPr>
        <w:tabs>
          <w:tab w:val="left" w:pos="360"/>
        </w:tabs>
        <w:jc w:val="both"/>
        <w:rPr>
          <w:rFonts w:asciiTheme="minorHAnsi" w:hAnsiTheme="minorHAnsi" w:cstheme="minorHAnsi"/>
          <w:u w:val="single"/>
        </w:rPr>
      </w:pPr>
    </w:p>
    <w:p w:rsidR="0099716F" w:rsidRPr="0099716F" w:rsidRDefault="0099716F" w:rsidP="0099716F">
      <w:pPr>
        <w:numPr>
          <w:ilvl w:val="0"/>
          <w:numId w:val="8"/>
        </w:numPr>
        <w:tabs>
          <w:tab w:val="clear" w:pos="360"/>
          <w:tab w:val="num" w:pos="540"/>
        </w:tabs>
        <w:ind w:left="540"/>
        <w:jc w:val="both"/>
        <w:rPr>
          <w:rFonts w:asciiTheme="minorHAnsi" w:hAnsiTheme="minorHAnsi" w:cstheme="minorHAnsi"/>
          <w:b/>
          <w:bCs/>
          <w:lang w:val="fr-CA"/>
        </w:rPr>
      </w:pPr>
      <w:r w:rsidRPr="0099716F">
        <w:rPr>
          <w:rFonts w:asciiTheme="minorHAnsi" w:hAnsiTheme="minorHAnsi" w:cstheme="minorHAnsi"/>
          <w:b/>
          <w:bCs/>
          <w:u w:val="single"/>
          <w:lang w:val="fr-CA"/>
        </w:rPr>
        <w:t>LE DOSSIER ADMINISTRATIF</w:t>
      </w:r>
      <w:r w:rsidRPr="0099716F">
        <w:rPr>
          <w:rFonts w:asciiTheme="minorHAnsi" w:hAnsiTheme="minorHAnsi" w:cstheme="minorHAnsi"/>
          <w:b/>
          <w:bCs/>
          <w:lang w:val="fr-CA"/>
        </w:rPr>
        <w:t xml:space="preserve"> </w:t>
      </w:r>
      <w:r w:rsidRPr="0099716F">
        <w:rPr>
          <w:rFonts w:asciiTheme="minorHAnsi" w:hAnsiTheme="minorHAnsi" w:cstheme="minorHAnsi"/>
          <w:lang w:val="fr-CA"/>
        </w:rPr>
        <w:t xml:space="preserve">doit comprendre </w:t>
      </w:r>
      <w:r w:rsidRPr="0099716F">
        <w:rPr>
          <w:rFonts w:asciiTheme="minorHAnsi" w:hAnsiTheme="minorHAnsi" w:cstheme="minorHAnsi"/>
          <w:b/>
          <w:bCs/>
          <w:lang w:val="fr-CA"/>
        </w:rPr>
        <w:t>:</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 déclaration sur l’honneur comprenant les indications et les engagements précisés à l’article 23 du décret n° 2-06-388  du 5 février 2007 relatif aux marchés de l’</w:t>
      </w:r>
      <w:proofErr w:type="spellStart"/>
      <w:r w:rsidRPr="0099716F">
        <w:rPr>
          <w:rFonts w:asciiTheme="minorHAnsi" w:hAnsiTheme="minorHAnsi" w:cstheme="minorHAnsi"/>
          <w:lang w:val="fr-CA"/>
        </w:rPr>
        <w:t>Etat</w:t>
      </w:r>
      <w:proofErr w:type="spellEnd"/>
      <w:r w:rsidRPr="0099716F">
        <w:rPr>
          <w:rFonts w:asciiTheme="minorHAnsi" w:hAnsiTheme="minorHAnsi" w:cstheme="minorHAnsi"/>
          <w:lang w:val="fr-CA"/>
        </w:rPr>
        <w:t>.</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 ou les pièces justifiant les pouvoirs conférés à la personne agissant au nom du concurrent conformément à l’alinéa 2 du paragraphe A de l’article 23  du  Décret n° 2-06-388  précité.</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L’attestation ou copie certifiée conforme délivrée  depuis  moins  d’un  an  par l’administration compétente du lieu d’imposition certifiant que le concurrent est en situation fiscale régulière. Cette attestation doit  mentionner  l’activité  au  titre  de  laquelle  le  concurrent est imposé.</w:t>
      </w:r>
      <w:r w:rsidRPr="0099716F">
        <w:rPr>
          <w:rFonts w:asciiTheme="minorHAnsi" w:hAnsiTheme="minorHAnsi" w:cstheme="minorHAnsi"/>
          <w:lang w:val="fr-CA"/>
        </w:rPr>
        <w:tab/>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 xml:space="preserve">L’attestation ou copie certifiée conforme délivrée  depuis  moins  d’un  an  par  </w:t>
      </w:r>
      <w:smartTag w:uri="urn:schemas-microsoft-com:office:smarttags" w:element="PersonName">
        <w:smartTagPr>
          <w:attr w:name="ProductID" w:val="la  CNSS"/>
        </w:smartTagPr>
        <w:r w:rsidRPr="0099716F">
          <w:rPr>
            <w:rFonts w:asciiTheme="minorHAnsi" w:hAnsiTheme="minorHAnsi" w:cstheme="minorHAnsi"/>
            <w:lang w:val="fr-CA"/>
          </w:rPr>
          <w:t>la  CNSS</w:t>
        </w:r>
      </w:smartTag>
      <w:r w:rsidRPr="0099716F">
        <w:rPr>
          <w:rFonts w:asciiTheme="minorHAnsi" w:hAnsiTheme="minorHAnsi" w:cstheme="minorHAnsi"/>
          <w:lang w:val="fr-CA"/>
        </w:rPr>
        <w:t xml:space="preserve">  certifiant  que  le  concurrent  est  en  situation  régulière  envers  cet  organisme.</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Le récépissé du cautionnement provisoire ou l’attestation de la caution  personnelle  et  solidaire  tenant  lieu, le cas échéant. En cas de groupement, le cautionnement provisoire sera constitué selon les modalités décrites au 5</w:t>
      </w:r>
      <w:r w:rsidRPr="0099716F">
        <w:rPr>
          <w:rFonts w:asciiTheme="minorHAnsi" w:hAnsiTheme="minorHAnsi" w:cstheme="minorHAnsi"/>
          <w:vertAlign w:val="superscript"/>
          <w:lang w:val="fr-CA"/>
        </w:rPr>
        <w:t>ème</w:t>
      </w:r>
      <w:r w:rsidRPr="0099716F">
        <w:rPr>
          <w:rFonts w:asciiTheme="minorHAnsi" w:hAnsiTheme="minorHAnsi" w:cstheme="minorHAnsi"/>
          <w:lang w:val="fr-CA"/>
        </w:rPr>
        <w:t xml:space="preserve"> paragraphe du C de l’article 83 du décret  n° 2-06-388  du 05 Février 2007.   </w:t>
      </w:r>
    </w:p>
    <w:p w:rsidR="0099716F" w:rsidRPr="0099716F" w:rsidRDefault="0099716F" w:rsidP="0099716F">
      <w:pPr>
        <w:numPr>
          <w:ilvl w:val="0"/>
          <w:numId w:val="2"/>
        </w:numPr>
        <w:jc w:val="both"/>
        <w:rPr>
          <w:rFonts w:asciiTheme="minorHAnsi" w:hAnsiTheme="minorHAnsi" w:cstheme="minorHAnsi"/>
        </w:rPr>
      </w:pPr>
      <w:r w:rsidRPr="0099716F">
        <w:rPr>
          <w:rFonts w:asciiTheme="minorHAnsi" w:hAnsiTheme="minorHAnsi" w:cstheme="minorHAnsi"/>
        </w:rPr>
        <w:t xml:space="preserve">Le  certificat  d’immatriculation  au  registre  de  commerce. </w:t>
      </w:r>
    </w:p>
    <w:p w:rsidR="0099716F" w:rsidRPr="0099716F" w:rsidRDefault="0099716F" w:rsidP="0099716F">
      <w:pPr>
        <w:numPr>
          <w:ilvl w:val="0"/>
          <w:numId w:val="2"/>
        </w:numPr>
        <w:jc w:val="both"/>
        <w:rPr>
          <w:rFonts w:asciiTheme="minorHAnsi" w:hAnsiTheme="minorHAnsi" w:cstheme="minorHAnsi"/>
        </w:rPr>
      </w:pPr>
      <w:r w:rsidRPr="0099716F">
        <w:rPr>
          <w:rFonts w:asciiTheme="minorHAnsi" w:hAnsiTheme="minorHAnsi" w:cstheme="minorHAnsi"/>
        </w:rPr>
        <w:t>Le CPS ainsi que le présent règlement de consultation paraphé et signé à la dernière page par le représentant du soumissionnaire.</w:t>
      </w:r>
    </w:p>
    <w:p w:rsidR="0099716F" w:rsidRPr="0099716F" w:rsidRDefault="0099716F" w:rsidP="0099716F">
      <w:pPr>
        <w:ind w:left="360"/>
        <w:jc w:val="both"/>
        <w:rPr>
          <w:rFonts w:asciiTheme="minorHAnsi" w:hAnsiTheme="minorHAnsi" w:cstheme="minorHAnsi"/>
        </w:rPr>
      </w:pP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lastRenderedPageBreak/>
        <w:t xml:space="preserve">En cas de groupement joindre au dossier administratif une copie légalisée de la convention de la constitution du groupement accompagnée d’une note indiquant notamment l’objet de la convention, la nature du groupement, le mandataire, la durée de la convention, la répartition des prestations le cas échéant.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Les concurrents non installés au Maroc doivent fournir l’équivalent des attestations visées aux paragraphes </w:t>
      </w:r>
      <w:r w:rsidRPr="0099716F">
        <w:rPr>
          <w:rFonts w:asciiTheme="minorHAnsi" w:hAnsiTheme="minorHAnsi" w:cstheme="minorHAnsi"/>
          <w:b/>
          <w:bCs/>
          <w:lang w:val="fr-CA"/>
        </w:rPr>
        <w:t>c, d</w:t>
      </w:r>
      <w:r w:rsidRPr="0099716F">
        <w:rPr>
          <w:rFonts w:asciiTheme="minorHAnsi" w:hAnsiTheme="minorHAnsi" w:cstheme="minorHAnsi"/>
          <w:lang w:val="fr-CA"/>
        </w:rPr>
        <w:t xml:space="preserve"> et</w:t>
      </w:r>
      <w:r w:rsidRPr="0099716F">
        <w:rPr>
          <w:rFonts w:asciiTheme="minorHAnsi" w:hAnsiTheme="minorHAnsi" w:cstheme="minorHAnsi"/>
          <w:b/>
          <w:bCs/>
          <w:lang w:val="fr-CA"/>
        </w:rPr>
        <w:t xml:space="preserve"> f </w:t>
      </w:r>
      <w:r w:rsidRPr="0099716F">
        <w:rPr>
          <w:rFonts w:asciiTheme="minorHAnsi" w:hAnsiTheme="minorHAnsi" w:cstheme="minorHAnsi"/>
          <w:lang w:val="fr-CA"/>
        </w:rPr>
        <w:t xml:space="preserve">ci-dessus délivrées par les administrations ou les organismes compétents de leurs pays d’origine ou de provenance, et à défaut, une déclaration faite devant une autorité judiciaire ou administrative, un notaire ou un organisme professionnel qualifié lorsque de tels documents ne sont pas délivrés par leur pays d’origine ou de provenance. </w:t>
      </w:r>
    </w:p>
    <w:p w:rsidR="0099716F" w:rsidRPr="0099716F" w:rsidRDefault="0099716F" w:rsidP="0099716F">
      <w:pPr>
        <w:rPr>
          <w:rFonts w:asciiTheme="minorHAnsi" w:hAnsiTheme="minorHAnsi" w:cstheme="minorHAnsi"/>
          <w:lang w:val="fr-CA"/>
        </w:rPr>
      </w:pPr>
    </w:p>
    <w:p w:rsidR="0099716F" w:rsidRPr="0099716F" w:rsidRDefault="0099716F" w:rsidP="0099716F">
      <w:pPr>
        <w:numPr>
          <w:ilvl w:val="0"/>
          <w:numId w:val="8"/>
        </w:numPr>
        <w:tabs>
          <w:tab w:val="clear" w:pos="360"/>
          <w:tab w:val="num" w:pos="540"/>
        </w:tabs>
        <w:ind w:left="540"/>
        <w:jc w:val="both"/>
        <w:rPr>
          <w:rFonts w:asciiTheme="minorHAnsi" w:hAnsiTheme="minorHAnsi" w:cstheme="minorHAnsi"/>
          <w:b/>
          <w:bCs/>
          <w:lang w:val="fr-CA"/>
        </w:rPr>
      </w:pPr>
      <w:r w:rsidRPr="0099716F">
        <w:rPr>
          <w:rFonts w:asciiTheme="minorHAnsi" w:hAnsiTheme="minorHAnsi" w:cstheme="minorHAnsi"/>
          <w:b/>
          <w:bCs/>
          <w:u w:val="single"/>
          <w:lang w:val="fr-CA"/>
        </w:rPr>
        <w:t xml:space="preserve">LE DOSSIER TECHNIQUE </w:t>
      </w:r>
      <w:r w:rsidRPr="0099716F">
        <w:rPr>
          <w:rFonts w:asciiTheme="minorHAnsi" w:hAnsiTheme="minorHAnsi" w:cstheme="minorHAnsi"/>
          <w:lang w:val="fr-CA"/>
        </w:rPr>
        <w:t>doit comprendre</w:t>
      </w:r>
      <w:r w:rsidRPr="0099716F">
        <w:rPr>
          <w:rFonts w:asciiTheme="minorHAnsi" w:hAnsiTheme="minorHAnsi" w:cstheme="minorHAnsi"/>
          <w:b/>
          <w:bCs/>
          <w:lang w:val="fr-CA"/>
        </w:rPr>
        <w:t>:</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Une note indiquant les moyens humains et techniques du concurrent, le lieu, la date, la nature et l’importance des missions similaires qu’il a réalisées ou auxquelles il a participé.</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Les attestations délivrées par les acheteurs publics ou privés  avec indication de la nature, le montant, les délais et les dates de réalisation desdites missions, l’appréciation, le nom et la qualité du signataire</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 xml:space="preserve">La liste du personnel ainsi que leurs CV détaillés que le soumissionnaire s’engage à affecter à la présente mission.  </w:t>
      </w:r>
    </w:p>
    <w:p w:rsidR="0099716F" w:rsidRPr="0099716F" w:rsidRDefault="0099716F" w:rsidP="0099716F">
      <w:pPr>
        <w:jc w:val="both"/>
        <w:rPr>
          <w:rFonts w:asciiTheme="minorHAnsi" w:hAnsiTheme="minorHAnsi" w:cstheme="minorHAnsi"/>
          <w:b/>
          <w:bCs/>
        </w:rPr>
      </w:pPr>
    </w:p>
    <w:p w:rsidR="0099716F" w:rsidRPr="0099716F" w:rsidRDefault="0099716F" w:rsidP="0099716F">
      <w:pPr>
        <w:pStyle w:val="Paragraphedeliste"/>
        <w:numPr>
          <w:ilvl w:val="0"/>
          <w:numId w:val="8"/>
        </w:numPr>
        <w:jc w:val="both"/>
        <w:rPr>
          <w:rFonts w:asciiTheme="minorHAnsi" w:hAnsiTheme="minorHAnsi" w:cstheme="minorHAnsi"/>
          <w:b/>
          <w:bCs/>
          <w:u w:val="single"/>
        </w:rPr>
      </w:pPr>
      <w:r w:rsidRPr="0099716F">
        <w:rPr>
          <w:rFonts w:asciiTheme="minorHAnsi" w:hAnsiTheme="minorHAnsi" w:cstheme="minorHAnsi"/>
          <w:b/>
          <w:bCs/>
          <w:caps/>
          <w:u w:val="single"/>
        </w:rPr>
        <w:t>offre technique</w:t>
      </w:r>
      <w:r w:rsidRPr="0099716F">
        <w:rPr>
          <w:rFonts w:asciiTheme="minorHAnsi" w:hAnsiTheme="minorHAnsi" w:cstheme="minorHAnsi"/>
          <w:b/>
          <w:bCs/>
          <w:u w:val="single"/>
        </w:rPr>
        <w:t> </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Les concurrents doivent présenter une offre technique faisant ressortir leur capacité à réaliser des prestations similaires au présent appel d’offres. A cet effet, ils doivent fournir les documents suivants :</w:t>
      </w:r>
    </w:p>
    <w:p w:rsidR="0099716F" w:rsidRPr="0099716F" w:rsidRDefault="0099716F" w:rsidP="0099716F">
      <w:pPr>
        <w:jc w:val="both"/>
        <w:rPr>
          <w:rFonts w:asciiTheme="minorHAnsi" w:hAnsiTheme="minorHAnsi" w:cstheme="minorHAnsi"/>
        </w:rPr>
      </w:pPr>
    </w:p>
    <w:p w:rsidR="0099716F" w:rsidRPr="0099716F" w:rsidRDefault="0099716F" w:rsidP="0099716F">
      <w:pPr>
        <w:numPr>
          <w:ilvl w:val="0"/>
          <w:numId w:val="6"/>
        </w:numPr>
        <w:jc w:val="both"/>
        <w:rPr>
          <w:rFonts w:asciiTheme="minorHAnsi" w:hAnsiTheme="minorHAnsi" w:cstheme="minorHAnsi"/>
          <w:b/>
          <w:bCs/>
        </w:rPr>
      </w:pPr>
      <w:r w:rsidRPr="0099716F">
        <w:rPr>
          <w:rFonts w:asciiTheme="minorHAnsi" w:hAnsiTheme="minorHAnsi" w:cstheme="minorHAnsi"/>
          <w:b/>
          <w:bCs/>
        </w:rPr>
        <w:t>Liste de l’équipe à affecter :</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 candidat doit préciser l’équipe qui sera affectée au projet.</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Cette équipe sera évaluée en fonction de la qualification de ses membres et particulièrement de leurs expériences dans le domaine objet du marché.</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 candidat doit joindre les CV des membres de l’équipe d’encadrement susvisés dûment signés par le chef de l’entreprise et par les intéressés.</w:t>
      </w:r>
    </w:p>
    <w:p w:rsidR="0099716F" w:rsidRPr="0099716F" w:rsidRDefault="0099716F" w:rsidP="0099716F">
      <w:pPr>
        <w:jc w:val="both"/>
        <w:rPr>
          <w:rFonts w:asciiTheme="minorHAnsi" w:hAnsiTheme="minorHAnsi" w:cstheme="minorHAnsi"/>
        </w:rPr>
      </w:pPr>
    </w:p>
    <w:p w:rsidR="0099716F" w:rsidRPr="0099716F" w:rsidRDefault="0099716F" w:rsidP="0099716F">
      <w:pPr>
        <w:numPr>
          <w:ilvl w:val="0"/>
          <w:numId w:val="6"/>
        </w:numPr>
        <w:jc w:val="both"/>
        <w:rPr>
          <w:rFonts w:asciiTheme="minorHAnsi" w:hAnsiTheme="minorHAnsi" w:cstheme="minorHAnsi"/>
          <w:b/>
          <w:bCs/>
        </w:rPr>
      </w:pPr>
      <w:r w:rsidRPr="0099716F">
        <w:rPr>
          <w:rFonts w:asciiTheme="minorHAnsi" w:hAnsiTheme="minorHAnsi" w:cstheme="minorHAnsi"/>
          <w:b/>
          <w:bCs/>
        </w:rPr>
        <w:t>La démarche proposée :</w:t>
      </w:r>
    </w:p>
    <w:p w:rsidR="0099716F" w:rsidRPr="0099716F" w:rsidRDefault="00AF5DCB" w:rsidP="0099716F">
      <w:pPr>
        <w:jc w:val="both"/>
        <w:rPr>
          <w:rFonts w:asciiTheme="minorHAnsi" w:hAnsiTheme="minorHAnsi" w:cstheme="minorHAnsi"/>
        </w:rPr>
      </w:pPr>
      <w:r>
        <w:rPr>
          <w:rFonts w:asciiTheme="minorHAnsi" w:hAnsiTheme="minorHAnsi" w:cstheme="minorHAnsi"/>
        </w:rPr>
        <w:t>La démarche</w:t>
      </w:r>
      <w:r w:rsidR="0099716F" w:rsidRPr="0099716F">
        <w:rPr>
          <w:rFonts w:asciiTheme="minorHAnsi" w:hAnsiTheme="minorHAnsi" w:cstheme="minorHAnsi"/>
        </w:rPr>
        <w:t xml:space="preserve"> doit être suffisamment détaillée pour informer le maître d’ouvrage des dispositions que compte prendre le soumissionnaire pour réaliser les prestations conformément à l’offre qui sera adoptée et ce dans les délais prescrits.</w:t>
      </w:r>
    </w:p>
    <w:p w:rsidR="0099716F" w:rsidRPr="0099716F" w:rsidRDefault="0099716F" w:rsidP="0099716F">
      <w:pPr>
        <w:jc w:val="both"/>
        <w:rPr>
          <w:rFonts w:asciiTheme="minorHAnsi" w:hAnsiTheme="minorHAnsi" w:cstheme="minorHAnsi"/>
        </w:rPr>
      </w:pPr>
    </w:p>
    <w:p w:rsidR="0099716F" w:rsidRPr="0099716F" w:rsidRDefault="0099716F" w:rsidP="0099716F">
      <w:pPr>
        <w:pStyle w:val="Paragraphedeliste"/>
        <w:numPr>
          <w:ilvl w:val="3"/>
          <w:numId w:val="4"/>
        </w:numPr>
        <w:ind w:left="426" w:hanging="426"/>
        <w:jc w:val="both"/>
        <w:rPr>
          <w:rFonts w:asciiTheme="minorHAnsi" w:hAnsiTheme="minorHAnsi" w:cstheme="minorHAnsi"/>
          <w:b/>
          <w:bCs/>
          <w:u w:val="single"/>
        </w:rPr>
      </w:pPr>
      <w:r w:rsidRPr="0099716F">
        <w:rPr>
          <w:rFonts w:asciiTheme="minorHAnsi" w:hAnsiTheme="minorHAnsi" w:cstheme="minorHAnsi"/>
          <w:b/>
          <w:bCs/>
          <w:u w:val="single"/>
        </w:rPr>
        <w:t>OFFRE  FINANCIERE</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Chaque concurrent doit présenter une offre financière comprenant :  </w:t>
      </w:r>
    </w:p>
    <w:p w:rsidR="0099716F" w:rsidRPr="0099716F" w:rsidRDefault="0099716F" w:rsidP="0099716F">
      <w:pPr>
        <w:numPr>
          <w:ilvl w:val="2"/>
          <w:numId w:val="3"/>
        </w:numPr>
        <w:tabs>
          <w:tab w:val="num" w:pos="1260"/>
        </w:tabs>
        <w:ind w:left="1260"/>
        <w:jc w:val="both"/>
        <w:rPr>
          <w:rFonts w:asciiTheme="minorHAnsi" w:hAnsiTheme="minorHAnsi" w:cstheme="minorHAnsi"/>
          <w:lang w:val="fr-CA"/>
        </w:rPr>
      </w:pPr>
      <w:r w:rsidRPr="0099716F">
        <w:rPr>
          <w:rFonts w:asciiTheme="minorHAnsi" w:hAnsiTheme="minorHAnsi" w:cstheme="minorHAnsi"/>
          <w:lang w:val="fr-CA"/>
        </w:rPr>
        <w:t>L’acte d’engagement ;</w:t>
      </w:r>
    </w:p>
    <w:p w:rsidR="0099716F" w:rsidRPr="0099716F" w:rsidRDefault="0099716F" w:rsidP="0099716F">
      <w:pPr>
        <w:numPr>
          <w:ilvl w:val="2"/>
          <w:numId w:val="3"/>
        </w:numPr>
        <w:tabs>
          <w:tab w:val="num" w:pos="1260"/>
        </w:tabs>
        <w:ind w:left="1260"/>
        <w:jc w:val="both"/>
        <w:rPr>
          <w:rFonts w:asciiTheme="minorHAnsi" w:hAnsiTheme="minorHAnsi" w:cstheme="minorHAnsi"/>
          <w:lang w:val="fr-CA"/>
        </w:rPr>
      </w:pPr>
      <w:r w:rsidRPr="0099716F">
        <w:rPr>
          <w:rFonts w:asciiTheme="minorHAnsi" w:hAnsiTheme="minorHAnsi" w:cstheme="minorHAnsi"/>
          <w:lang w:val="fr-CA"/>
        </w:rPr>
        <w:t>Le bordereau des prix et détail estimatif ;</w:t>
      </w:r>
    </w:p>
    <w:p w:rsidR="0099716F" w:rsidRPr="0099716F" w:rsidRDefault="0099716F" w:rsidP="0099716F">
      <w:pPr>
        <w:numPr>
          <w:ilvl w:val="2"/>
          <w:numId w:val="3"/>
        </w:numPr>
        <w:tabs>
          <w:tab w:val="num" w:pos="1260"/>
        </w:tabs>
        <w:ind w:left="1260"/>
        <w:jc w:val="both"/>
        <w:rPr>
          <w:rFonts w:asciiTheme="minorHAnsi" w:hAnsiTheme="minorHAnsi" w:cstheme="minorHAnsi"/>
        </w:rPr>
      </w:pPr>
      <w:r w:rsidRPr="0099716F">
        <w:rPr>
          <w:rFonts w:asciiTheme="minorHAnsi" w:hAnsiTheme="minorHAnsi" w:cstheme="minorHAnsi"/>
        </w:rPr>
        <w:t>Le sous détail des prix, le cas échéant ;</w:t>
      </w:r>
    </w:p>
    <w:p w:rsidR="0099716F" w:rsidRPr="0099716F" w:rsidRDefault="0099716F" w:rsidP="0099716F">
      <w:pPr>
        <w:numPr>
          <w:ilvl w:val="2"/>
          <w:numId w:val="3"/>
        </w:numPr>
        <w:tabs>
          <w:tab w:val="num" w:pos="1260"/>
        </w:tabs>
        <w:ind w:left="1260"/>
        <w:jc w:val="both"/>
        <w:rPr>
          <w:rFonts w:asciiTheme="minorHAnsi" w:hAnsiTheme="minorHAnsi" w:cstheme="minorHAnsi"/>
        </w:rPr>
      </w:pPr>
      <w:r w:rsidRPr="0099716F">
        <w:rPr>
          <w:rFonts w:asciiTheme="minorHAnsi" w:hAnsiTheme="minorHAnsi" w:cstheme="minorHAnsi"/>
        </w:rPr>
        <w:t xml:space="preserve">La décomposition du montant global, le cas échéant                  </w:t>
      </w:r>
    </w:p>
    <w:p w:rsidR="0099716F" w:rsidRPr="0099716F" w:rsidRDefault="0099716F" w:rsidP="0099716F">
      <w:pPr>
        <w:jc w:val="both"/>
        <w:rPr>
          <w:rFonts w:asciiTheme="minorHAnsi" w:hAnsiTheme="minorHAnsi" w:cstheme="minorHAnsi"/>
          <w:lang w:val="fr-CA"/>
        </w:rPr>
      </w:pPr>
      <w:r w:rsidRPr="0099716F">
        <w:rPr>
          <w:rFonts w:asciiTheme="minorHAnsi" w:hAnsiTheme="minorHAnsi" w:cstheme="minorHAnsi"/>
          <w:lang w:val="fr-CA"/>
        </w:rPr>
        <w:t>Le  montant de l’acte d’engagement doit être indiqué en chiffres et en lettres.</w:t>
      </w:r>
    </w:p>
    <w:p w:rsidR="0099716F" w:rsidRPr="0099716F" w:rsidRDefault="0099716F" w:rsidP="0099716F">
      <w:pPr>
        <w:jc w:val="both"/>
        <w:rPr>
          <w:rFonts w:asciiTheme="minorHAnsi" w:hAnsiTheme="minorHAnsi" w:cstheme="minorHAnsi"/>
          <w:color w:val="FF0000"/>
          <w:lang w:val="fr-CA"/>
        </w:rPr>
      </w:pPr>
      <w:r w:rsidRPr="0099716F">
        <w:rPr>
          <w:rFonts w:asciiTheme="minorHAnsi" w:hAnsiTheme="minorHAnsi" w:cstheme="minorHAnsi"/>
          <w:lang w:val="fr-CA"/>
        </w:rPr>
        <w:t>En cas de discordance entre le montant en chiffres et celui en lettres c’est le montant indiqué en lettres qui fait foi.</w:t>
      </w:r>
    </w:p>
    <w:p w:rsidR="0099716F" w:rsidRPr="0099716F" w:rsidRDefault="0099716F" w:rsidP="0099716F">
      <w:pPr>
        <w:ind w:left="1440"/>
        <w:jc w:val="both"/>
        <w:rPr>
          <w:rFonts w:asciiTheme="minorHAnsi" w:hAnsiTheme="minorHAnsi" w:cstheme="minorHAnsi"/>
        </w:rPr>
      </w:pPr>
    </w:p>
    <w:p w:rsidR="0099716F" w:rsidRPr="0099716F" w:rsidRDefault="0099716F" w:rsidP="0099716F">
      <w:pPr>
        <w:jc w:val="both"/>
        <w:rPr>
          <w:rFonts w:asciiTheme="minorHAnsi" w:hAnsiTheme="minorHAnsi" w:cstheme="minorHAnsi"/>
          <w:b/>
          <w:bCs/>
        </w:rPr>
      </w:pPr>
      <w:r w:rsidRPr="0099716F">
        <w:rPr>
          <w:rFonts w:asciiTheme="minorHAnsi" w:hAnsiTheme="minorHAnsi" w:cstheme="minorHAnsi"/>
          <w:b/>
          <w:bCs/>
        </w:rPr>
        <w:t xml:space="preserve">5   </w:t>
      </w:r>
      <w:r w:rsidRPr="0099716F">
        <w:rPr>
          <w:rFonts w:asciiTheme="minorHAnsi" w:hAnsiTheme="minorHAnsi" w:cstheme="minorHAnsi"/>
          <w:b/>
          <w:bCs/>
          <w:u w:val="single"/>
        </w:rPr>
        <w:t>PRESENTATION DES DOSSIERS DES OFFRES DES CONCURRENTS</w:t>
      </w:r>
    </w:p>
    <w:p w:rsidR="0099716F" w:rsidRPr="0099716F" w:rsidRDefault="0099716F" w:rsidP="0099716F">
      <w:pPr>
        <w:rPr>
          <w:rFonts w:asciiTheme="minorHAnsi" w:hAnsiTheme="minorHAnsi" w:cstheme="minorHAnsi"/>
          <w:b/>
          <w:bCs/>
          <w:lang w:val="fr-CA"/>
        </w:rPr>
      </w:pPr>
      <w:r w:rsidRPr="0099716F">
        <w:rPr>
          <w:rFonts w:asciiTheme="minorHAnsi" w:hAnsiTheme="minorHAnsi" w:cstheme="minorHAnsi"/>
          <w:lang w:val="fr-CA"/>
        </w:rPr>
        <w:t>Le dossier présenté par chaque concurrent est mis dans un pli cacheté portant:</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Le nom et l’adresse du concurrent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lastRenderedPageBreak/>
        <w:t>Le numéro de l’avis d’appel d’offres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 xml:space="preserve">L’objet du marché et  l’indication du lot concerné, le cas échéant ;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La date et l’heure de la séance publique d’ouverture des plis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 xml:space="preserve">L’avertissement que « les plis ne doivent être ouverts que par le Président de la commission d’appel d’offre lors de la séance d’examen des offres ».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Ce  pli  contient trois enveloppes  comprenant :</w:t>
      </w:r>
    </w:p>
    <w:p w:rsidR="0099716F" w:rsidRPr="0099716F" w:rsidRDefault="0099716F" w:rsidP="0099716F">
      <w:pPr>
        <w:numPr>
          <w:ilvl w:val="0"/>
          <w:numId w:val="5"/>
        </w:numPr>
        <w:jc w:val="both"/>
        <w:rPr>
          <w:rFonts w:asciiTheme="minorHAnsi" w:hAnsiTheme="minorHAnsi" w:cstheme="minorHAnsi"/>
          <w:lang w:val="fr-CA"/>
        </w:rPr>
      </w:pPr>
      <w:r w:rsidRPr="0099716F">
        <w:rPr>
          <w:rFonts w:asciiTheme="minorHAnsi" w:hAnsiTheme="minorHAnsi" w:cstheme="minorHAnsi"/>
          <w:b/>
          <w:bCs/>
          <w:u w:val="single"/>
          <w:lang w:val="fr-CA"/>
        </w:rPr>
        <w:t>La  première enveloppe</w:t>
      </w:r>
      <w:r w:rsidRPr="0099716F">
        <w:rPr>
          <w:rFonts w:asciiTheme="minorHAnsi" w:hAnsiTheme="minorHAnsi" w:cstheme="minorHAnsi"/>
          <w:lang w:val="fr-CA"/>
        </w:rPr>
        <w:t>: comprend le CPS signé et paraphé, le dossier administratif et le dossier technique. Cette enveloppe doit être cachetée et  porter de façon apparente,  la  mention  « dossiers administratif et technique ».</w:t>
      </w:r>
    </w:p>
    <w:p w:rsidR="0099716F" w:rsidRPr="0099716F" w:rsidRDefault="0099716F" w:rsidP="0099716F">
      <w:pPr>
        <w:numPr>
          <w:ilvl w:val="0"/>
          <w:numId w:val="5"/>
        </w:numPr>
        <w:jc w:val="both"/>
        <w:rPr>
          <w:rFonts w:asciiTheme="minorHAnsi" w:hAnsiTheme="minorHAnsi" w:cstheme="minorHAnsi"/>
          <w:b/>
          <w:bCs/>
          <w:color w:val="0000FF"/>
          <w:lang w:val="fr-CA"/>
        </w:rPr>
      </w:pPr>
      <w:r w:rsidRPr="0099716F">
        <w:rPr>
          <w:rFonts w:asciiTheme="minorHAnsi" w:hAnsiTheme="minorHAnsi" w:cstheme="minorHAnsi"/>
          <w:b/>
          <w:bCs/>
          <w:u w:val="single"/>
          <w:lang w:val="fr-CA"/>
        </w:rPr>
        <w:t>La deuxième enveloppe</w:t>
      </w:r>
      <w:r w:rsidRPr="0099716F">
        <w:rPr>
          <w:rFonts w:asciiTheme="minorHAnsi" w:hAnsiTheme="minorHAnsi" w:cstheme="minorHAnsi"/>
          <w:lang w:val="fr-CA"/>
        </w:rPr>
        <w:t>: comprend l’offre financière du soumissionnaire. Cette  enveloppe doit être cachetée et porte de façon apparente, la  mention « offre financière ».</w:t>
      </w:r>
      <w:r w:rsidRPr="0099716F">
        <w:rPr>
          <w:rFonts w:asciiTheme="minorHAnsi" w:hAnsiTheme="minorHAnsi" w:cstheme="minorHAnsi"/>
          <w:b/>
          <w:bCs/>
          <w:color w:val="0000FF"/>
          <w:lang w:val="fr-CA"/>
        </w:rPr>
        <w:t xml:space="preserve"> </w:t>
      </w:r>
    </w:p>
    <w:p w:rsidR="0099716F" w:rsidRPr="0099716F" w:rsidRDefault="0099716F" w:rsidP="0099716F">
      <w:pPr>
        <w:ind w:left="1560" w:hanging="360"/>
        <w:rPr>
          <w:rFonts w:asciiTheme="minorHAnsi" w:hAnsiTheme="minorHAnsi" w:cstheme="minorHAnsi"/>
          <w:lang w:val="fr-CA"/>
        </w:rPr>
      </w:pPr>
      <w:r w:rsidRPr="0099716F">
        <w:rPr>
          <w:rFonts w:asciiTheme="minorHAnsi" w:hAnsiTheme="minorHAnsi" w:cstheme="minorHAnsi"/>
          <w:lang w:val="fr-CA"/>
        </w:rPr>
        <w:t xml:space="preserve">c. </w:t>
      </w:r>
      <w:r w:rsidRPr="0099716F">
        <w:rPr>
          <w:rFonts w:asciiTheme="minorHAnsi" w:hAnsiTheme="minorHAnsi" w:cstheme="minorHAnsi"/>
          <w:b/>
          <w:bCs/>
          <w:u w:val="single"/>
          <w:lang w:val="fr-CA"/>
        </w:rPr>
        <w:t>la troisième enveloppe</w:t>
      </w:r>
      <w:r w:rsidRPr="0099716F">
        <w:rPr>
          <w:rFonts w:asciiTheme="minorHAnsi" w:hAnsiTheme="minorHAnsi" w:cstheme="minorHAnsi"/>
          <w:lang w:val="fr-CA"/>
        </w:rPr>
        <w:t xml:space="preserve"> : contient l’offre technique du soumissionnaire. Elle   doit être cachetée et porter de façon apparente, la mention «offre technique».                            </w:t>
      </w:r>
    </w:p>
    <w:p w:rsidR="0099716F" w:rsidRPr="0099716F" w:rsidRDefault="0099716F" w:rsidP="0099716F">
      <w:pPr>
        <w:jc w:val="both"/>
        <w:rPr>
          <w:rFonts w:asciiTheme="minorHAnsi" w:hAnsiTheme="minorHAnsi" w:cstheme="minorHAnsi"/>
          <w:b/>
          <w:bCs/>
          <w:u w:val="single"/>
        </w:rPr>
      </w:pPr>
    </w:p>
    <w:p w:rsidR="008D27EF" w:rsidRPr="0099716F" w:rsidRDefault="009949E3" w:rsidP="0099716F">
      <w:pPr>
        <w:ind w:left="360"/>
        <w:jc w:val="both"/>
        <w:rPr>
          <w:rFonts w:asciiTheme="minorHAnsi" w:hAnsiTheme="minorHAnsi" w:cstheme="minorHAnsi"/>
        </w:rPr>
      </w:pPr>
    </w:p>
    <w:sectPr w:rsidR="008D27EF" w:rsidRPr="0099716F">
      <w:footerReference w:type="even" r:id="rId9"/>
      <w:footerReference w:type="default" r:id="rId10"/>
      <w:pgSz w:w="11906" w:h="16838" w:code="9"/>
      <w:pgMar w:top="851" w:right="1418" w:bottom="851" w:left="1418" w:header="720" w:footer="329"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E3" w:rsidRDefault="009949E3">
      <w:r>
        <w:separator/>
      </w:r>
    </w:p>
  </w:endnote>
  <w:endnote w:type="continuationSeparator" w:id="0">
    <w:p w:rsidR="009949E3" w:rsidRDefault="0099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D9" w:rsidRDefault="003413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0DD9" w:rsidRDefault="009949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D9" w:rsidRDefault="003413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57129">
      <w:rPr>
        <w:rStyle w:val="Numrodepage"/>
        <w:noProof/>
      </w:rPr>
      <w:t>1</w:t>
    </w:r>
    <w:r>
      <w:rPr>
        <w:rStyle w:val="Numrodepage"/>
      </w:rPr>
      <w:fldChar w:fldCharType="end"/>
    </w:r>
  </w:p>
  <w:p w:rsidR="00360DD9" w:rsidRDefault="009949E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E3" w:rsidRDefault="009949E3">
      <w:r>
        <w:separator/>
      </w:r>
    </w:p>
  </w:footnote>
  <w:footnote w:type="continuationSeparator" w:id="0">
    <w:p w:rsidR="009949E3" w:rsidRDefault="00994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D095507"/>
    <w:multiLevelType w:val="hybridMultilevel"/>
    <w:tmpl w:val="21B21B6E"/>
    <w:lvl w:ilvl="0" w:tplc="F46EADD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DEF20D0"/>
    <w:multiLevelType w:val="hybridMultilevel"/>
    <w:tmpl w:val="E45E912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FB401DB"/>
    <w:multiLevelType w:val="hybridMultilevel"/>
    <w:tmpl w:val="8C669A9C"/>
    <w:lvl w:ilvl="0" w:tplc="F0FEECA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8383367"/>
    <w:multiLevelType w:val="hybridMultilevel"/>
    <w:tmpl w:val="BCB618E0"/>
    <w:lvl w:ilvl="0" w:tplc="11F070F4">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FA1041"/>
    <w:multiLevelType w:val="hybridMultilevel"/>
    <w:tmpl w:val="524ECE6E"/>
    <w:lvl w:ilvl="0" w:tplc="0012F4AE">
      <w:start w:val="1"/>
      <w:numFmt w:val="lowerLetter"/>
      <w:lvlText w:val="%1."/>
      <w:lvlJc w:val="left"/>
      <w:pPr>
        <w:tabs>
          <w:tab w:val="num" w:pos="1560"/>
        </w:tabs>
        <w:ind w:left="1560" w:hanging="360"/>
      </w:pPr>
      <w:rPr>
        <w:rFonts w:hint="default"/>
        <w:b w:val="0"/>
        <w:bCs w:val="0"/>
        <w:color w:val="000000"/>
      </w:rPr>
    </w:lvl>
    <w:lvl w:ilvl="1" w:tplc="D79C1584">
      <w:start w:val="1"/>
      <w:numFmt w:val="bullet"/>
      <w:lvlText w:val=""/>
      <w:lvlJc w:val="left"/>
      <w:pPr>
        <w:tabs>
          <w:tab w:val="num" w:pos="1620"/>
        </w:tabs>
        <w:ind w:left="1620" w:hanging="360"/>
      </w:pPr>
      <w:rPr>
        <w:rFonts w:ascii="Wingdings" w:hAnsi="Wingdings" w:hint="default"/>
        <w:b w:val="0"/>
        <w:bCs w:val="0"/>
      </w:rPr>
    </w:lvl>
    <w:lvl w:ilvl="2" w:tplc="95EAA264">
      <w:start w:val="1"/>
      <w:numFmt w:val="bullet"/>
      <w:lvlText w:val=""/>
      <w:lvlJc w:val="left"/>
      <w:pPr>
        <w:tabs>
          <w:tab w:val="num" w:pos="360"/>
        </w:tabs>
        <w:ind w:left="360" w:hanging="360"/>
      </w:pPr>
      <w:rPr>
        <w:rFonts w:ascii="Wingdings" w:hAnsi="Wingdings" w:hint="default"/>
        <w:b w:val="0"/>
        <w:bCs w:val="0"/>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3032B8E"/>
    <w:multiLevelType w:val="hybridMultilevel"/>
    <w:tmpl w:val="D4AEAA90"/>
    <w:lvl w:ilvl="0" w:tplc="040C000F">
      <w:start w:val="1"/>
      <w:numFmt w:val="decimal"/>
      <w:lvlText w:val="%1."/>
      <w:lvlJc w:val="left"/>
      <w:pPr>
        <w:tabs>
          <w:tab w:val="num" w:pos="1776"/>
        </w:tabs>
        <w:ind w:left="1776" w:hanging="360"/>
      </w:pPr>
    </w:lvl>
    <w:lvl w:ilvl="1" w:tplc="CEAC1F1E">
      <w:start w:val="1"/>
      <w:numFmt w:val="bullet"/>
      <w:lvlText w:val=""/>
      <w:lvlJc w:val="left"/>
      <w:pPr>
        <w:tabs>
          <w:tab w:val="num" w:pos="2496"/>
        </w:tabs>
        <w:ind w:left="2496" w:hanging="360"/>
      </w:pPr>
      <w:rPr>
        <w:rFonts w:ascii="Symbol" w:hAnsi="Symbol" w:hint="default"/>
      </w:rPr>
    </w:lvl>
    <w:lvl w:ilvl="2" w:tplc="040C0001">
      <w:start w:val="1"/>
      <w:numFmt w:val="bullet"/>
      <w:lvlText w:val=""/>
      <w:lvlJc w:val="left"/>
      <w:pPr>
        <w:tabs>
          <w:tab w:val="num" w:pos="3396"/>
        </w:tabs>
        <w:ind w:left="3396" w:hanging="360"/>
      </w:pPr>
      <w:rPr>
        <w:rFonts w:ascii="Symbol" w:hAnsi="Symbol"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nsid w:val="652A36AF"/>
    <w:multiLevelType w:val="hybridMultilevel"/>
    <w:tmpl w:val="011612A0"/>
    <w:lvl w:ilvl="0" w:tplc="2D62610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8">
    <w:nsid w:val="66EE0DC9"/>
    <w:multiLevelType w:val="hybridMultilevel"/>
    <w:tmpl w:val="DD2A43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9E84122"/>
    <w:multiLevelType w:val="hybridMultilevel"/>
    <w:tmpl w:val="2A44BB70"/>
    <w:lvl w:ilvl="0" w:tplc="FA180B36">
      <w:numFmt w:val="bullet"/>
      <w:lvlText w:val="-"/>
      <w:lvlJc w:val="left"/>
      <w:pPr>
        <w:tabs>
          <w:tab w:val="num" w:pos="1440"/>
        </w:tabs>
        <w:ind w:left="1440" w:hanging="360"/>
      </w:pPr>
      <w:rPr>
        <w:rFonts w:ascii="Harrington" w:eastAsia="Harrington" w:hAnsi="Harrington" w:cs="Arabic Transparent" w:hint="default"/>
      </w:rPr>
    </w:lvl>
    <w:lvl w:ilvl="1" w:tplc="D79C1584">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74A81E6D"/>
    <w:multiLevelType w:val="hybridMultilevel"/>
    <w:tmpl w:val="9092A166"/>
    <w:lvl w:ilvl="0" w:tplc="A51ED89A">
      <w:start w:val="1"/>
      <w:numFmt w:val="lowerLetter"/>
      <w:lvlText w:val="%1."/>
      <w:lvlJc w:val="left"/>
      <w:pPr>
        <w:tabs>
          <w:tab w:val="num" w:pos="720"/>
        </w:tabs>
        <w:ind w:left="720" w:hanging="360"/>
      </w:pPr>
      <w:rPr>
        <w:rFonts w:hint="default"/>
      </w:rPr>
    </w:lvl>
    <w:lvl w:ilvl="1" w:tplc="2F2AE18A">
      <w:start w:val="1"/>
      <w:numFmt w:val="lowerLetter"/>
      <w:lvlText w:val="%2."/>
      <w:lvlJc w:val="left"/>
      <w:pPr>
        <w:tabs>
          <w:tab w:val="num" w:pos="1260"/>
        </w:tabs>
        <w:ind w:left="1260" w:hanging="360"/>
      </w:pPr>
      <w:rPr>
        <w:rFonts w:hint="default"/>
      </w:rPr>
    </w:lvl>
    <w:lvl w:ilvl="2" w:tplc="2D62610E">
      <w:start w:val="1"/>
      <w:numFmt w:val="decimal"/>
      <w:lvlText w:val="%3."/>
      <w:lvlJc w:val="left"/>
      <w:pPr>
        <w:tabs>
          <w:tab w:val="num" w:pos="2160"/>
        </w:tabs>
        <w:ind w:left="2160" w:hanging="360"/>
      </w:pPr>
      <w:rPr>
        <w:rFonts w:hint="default"/>
      </w:rPr>
    </w:lvl>
    <w:lvl w:ilvl="3" w:tplc="6750D442">
      <w:start w:val="4"/>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center"/>
        <w:pPr>
          <w:ind w:left="283" w:hanging="283"/>
        </w:pPr>
        <w:rPr>
          <w:rFonts w:ascii="Symbol" w:hAnsi="Symbol" w:hint="default"/>
        </w:rPr>
      </w:lvl>
    </w:lvlOverride>
  </w:num>
  <w:num w:numId="2">
    <w:abstractNumId w:val="2"/>
  </w:num>
  <w:num w:numId="3">
    <w:abstractNumId w:val="6"/>
  </w:num>
  <w:num w:numId="4">
    <w:abstractNumId w:val="10"/>
  </w:num>
  <w:num w:numId="5">
    <w:abstractNumId w:val="5"/>
  </w:num>
  <w:num w:numId="6">
    <w:abstractNumId w:val="8"/>
  </w:num>
  <w:num w:numId="7">
    <w:abstractNumId w:val="9"/>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C5"/>
    <w:rsid w:val="000A1654"/>
    <w:rsid w:val="00130245"/>
    <w:rsid w:val="001D5C4D"/>
    <w:rsid w:val="001E3C84"/>
    <w:rsid w:val="002D6604"/>
    <w:rsid w:val="003413C5"/>
    <w:rsid w:val="005A4DEB"/>
    <w:rsid w:val="00600714"/>
    <w:rsid w:val="00610789"/>
    <w:rsid w:val="00615FFE"/>
    <w:rsid w:val="006304EE"/>
    <w:rsid w:val="006C2678"/>
    <w:rsid w:val="007740D6"/>
    <w:rsid w:val="008767E2"/>
    <w:rsid w:val="00902397"/>
    <w:rsid w:val="00927951"/>
    <w:rsid w:val="009949E3"/>
    <w:rsid w:val="0099716F"/>
    <w:rsid w:val="00A53B95"/>
    <w:rsid w:val="00A57129"/>
    <w:rsid w:val="00AF5DCB"/>
    <w:rsid w:val="00BA5181"/>
    <w:rsid w:val="00BE0774"/>
    <w:rsid w:val="00C5138B"/>
    <w:rsid w:val="00C70427"/>
    <w:rsid w:val="00D006EF"/>
    <w:rsid w:val="00DC6CE4"/>
    <w:rsid w:val="00E23437"/>
    <w:rsid w:val="00E72262"/>
    <w:rsid w:val="00FA62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413C5"/>
    <w:pPr>
      <w:keepNext/>
      <w:jc w:val="center"/>
      <w:outlineLvl w:val="1"/>
    </w:pPr>
    <w:rPr>
      <w:rFonts w:ascii="Tahoma" w:hAnsi="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413C5"/>
    <w:rPr>
      <w:rFonts w:ascii="Tahoma" w:eastAsia="Times New Roman" w:hAnsi="Tahoma" w:cs="Times New Roman"/>
      <w:b/>
      <w:bCs/>
      <w:sz w:val="20"/>
      <w:szCs w:val="20"/>
      <w:lang w:eastAsia="fr-FR"/>
    </w:rPr>
  </w:style>
  <w:style w:type="paragraph" w:styleId="Titre">
    <w:name w:val="Title"/>
    <w:basedOn w:val="Normal"/>
    <w:link w:val="TitreCar"/>
    <w:qFormat/>
    <w:rsid w:val="003413C5"/>
    <w:pPr>
      <w:jc w:val="center"/>
    </w:pPr>
    <w:rPr>
      <w:rFonts w:ascii="Comic Sans MS" w:hAnsi="Comic Sans MS"/>
      <w:b/>
      <w:bCs/>
      <w:sz w:val="22"/>
      <w:szCs w:val="22"/>
    </w:rPr>
  </w:style>
  <w:style w:type="character" w:customStyle="1" w:styleId="TitreCar">
    <w:name w:val="Titre Car"/>
    <w:basedOn w:val="Policepardfaut"/>
    <w:link w:val="Titre"/>
    <w:rsid w:val="003413C5"/>
    <w:rPr>
      <w:rFonts w:ascii="Comic Sans MS" w:eastAsia="Times New Roman" w:hAnsi="Comic Sans MS" w:cs="Times New Roman"/>
      <w:b/>
      <w:bCs/>
      <w:lang w:eastAsia="fr-FR"/>
    </w:rPr>
  </w:style>
  <w:style w:type="paragraph" w:styleId="Corpsdetexte3">
    <w:name w:val="Body Text 3"/>
    <w:basedOn w:val="Normal"/>
    <w:link w:val="Corpsdetexte3Car"/>
    <w:rsid w:val="003413C5"/>
    <w:pPr>
      <w:jc w:val="both"/>
    </w:pPr>
    <w:rPr>
      <w:rFonts w:ascii="Tahoma" w:hAnsi="Tahoma"/>
      <w:sz w:val="20"/>
      <w:szCs w:val="20"/>
    </w:rPr>
  </w:style>
  <w:style w:type="character" w:customStyle="1" w:styleId="Corpsdetexte3Car">
    <w:name w:val="Corps de texte 3 Car"/>
    <w:basedOn w:val="Policepardfaut"/>
    <w:link w:val="Corpsdetexte3"/>
    <w:rsid w:val="003413C5"/>
    <w:rPr>
      <w:rFonts w:ascii="Tahoma" w:eastAsia="Times New Roman" w:hAnsi="Tahoma" w:cs="Times New Roman"/>
      <w:sz w:val="20"/>
      <w:szCs w:val="20"/>
      <w:lang w:eastAsia="fr-FR"/>
    </w:rPr>
  </w:style>
  <w:style w:type="character" w:styleId="Lienhypertexte">
    <w:name w:val="Hyperlink"/>
    <w:rsid w:val="003413C5"/>
    <w:rPr>
      <w:color w:val="0000FF"/>
      <w:u w:val="single"/>
    </w:rPr>
  </w:style>
  <w:style w:type="paragraph" w:styleId="Pieddepage">
    <w:name w:val="footer"/>
    <w:basedOn w:val="Normal"/>
    <w:link w:val="PieddepageCar"/>
    <w:rsid w:val="003413C5"/>
    <w:pPr>
      <w:tabs>
        <w:tab w:val="center" w:pos="4536"/>
        <w:tab w:val="right" w:pos="9072"/>
      </w:tabs>
    </w:pPr>
  </w:style>
  <w:style w:type="character" w:customStyle="1" w:styleId="PieddepageCar">
    <w:name w:val="Pied de page Car"/>
    <w:basedOn w:val="Policepardfaut"/>
    <w:link w:val="Pieddepage"/>
    <w:rsid w:val="003413C5"/>
    <w:rPr>
      <w:rFonts w:ascii="Times New Roman" w:eastAsia="Times New Roman" w:hAnsi="Times New Roman" w:cs="Times New Roman"/>
      <w:sz w:val="24"/>
      <w:szCs w:val="24"/>
      <w:lang w:eastAsia="fr-FR"/>
    </w:rPr>
  </w:style>
  <w:style w:type="character" w:styleId="Numrodepage">
    <w:name w:val="page number"/>
    <w:basedOn w:val="Policepardfaut"/>
    <w:rsid w:val="003413C5"/>
  </w:style>
  <w:style w:type="paragraph" w:styleId="Corpsdetexte">
    <w:name w:val="Body Text"/>
    <w:basedOn w:val="Normal"/>
    <w:link w:val="CorpsdetexteCar"/>
    <w:rsid w:val="003413C5"/>
    <w:pPr>
      <w:spacing w:after="120"/>
    </w:pPr>
  </w:style>
  <w:style w:type="character" w:customStyle="1" w:styleId="CorpsdetexteCar">
    <w:name w:val="Corps de texte Car"/>
    <w:basedOn w:val="Policepardfaut"/>
    <w:link w:val="Corpsdetexte"/>
    <w:rsid w:val="003413C5"/>
    <w:rPr>
      <w:rFonts w:ascii="Times New Roman" w:eastAsia="Times New Roman" w:hAnsi="Times New Roman" w:cs="Times New Roman"/>
      <w:sz w:val="24"/>
      <w:szCs w:val="24"/>
      <w:lang w:eastAsia="fr-FR"/>
    </w:rPr>
  </w:style>
  <w:style w:type="paragraph" w:customStyle="1" w:styleId="StyleNB">
    <w:name w:val="Style NB"/>
    <w:basedOn w:val="Corpsdetexte"/>
    <w:qFormat/>
    <w:rsid w:val="003413C5"/>
    <w:pPr>
      <w:spacing w:after="0"/>
      <w:jc w:val="both"/>
    </w:pPr>
    <w:rPr>
      <w:rFonts w:ascii="Eras Medium ITC" w:hAnsi="Eras Medium ITC" w:cs="Arial"/>
      <w:b/>
      <w:bCs/>
      <w:u w:val="single"/>
    </w:rPr>
  </w:style>
  <w:style w:type="paragraph" w:customStyle="1" w:styleId="Corpsdetexte21">
    <w:name w:val="Corps de texte 21"/>
    <w:basedOn w:val="Normal"/>
    <w:rsid w:val="003413C5"/>
    <w:pPr>
      <w:tabs>
        <w:tab w:val="left" w:pos="284"/>
      </w:tabs>
      <w:jc w:val="both"/>
    </w:pPr>
    <w:rPr>
      <w:szCs w:val="20"/>
      <w:lang w:val="fr-CA"/>
    </w:rPr>
  </w:style>
  <w:style w:type="paragraph" w:styleId="Paragraphedeliste">
    <w:name w:val="List Paragraph"/>
    <w:basedOn w:val="Normal"/>
    <w:qFormat/>
    <w:rsid w:val="003413C5"/>
    <w:pPr>
      <w:ind w:left="708"/>
    </w:pPr>
  </w:style>
  <w:style w:type="paragraph" w:styleId="Textedebulles">
    <w:name w:val="Balloon Text"/>
    <w:basedOn w:val="Normal"/>
    <w:link w:val="TextedebullesCar"/>
    <w:uiPriority w:val="99"/>
    <w:semiHidden/>
    <w:unhideWhenUsed/>
    <w:rsid w:val="00C70427"/>
    <w:rPr>
      <w:rFonts w:ascii="Tahoma" w:hAnsi="Tahoma" w:cs="Tahoma"/>
      <w:sz w:val="16"/>
      <w:szCs w:val="16"/>
    </w:rPr>
  </w:style>
  <w:style w:type="character" w:customStyle="1" w:styleId="TextedebullesCar">
    <w:name w:val="Texte de bulles Car"/>
    <w:basedOn w:val="Policepardfaut"/>
    <w:link w:val="Textedebulles"/>
    <w:uiPriority w:val="99"/>
    <w:semiHidden/>
    <w:rsid w:val="00C7042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413C5"/>
    <w:pPr>
      <w:keepNext/>
      <w:jc w:val="center"/>
      <w:outlineLvl w:val="1"/>
    </w:pPr>
    <w:rPr>
      <w:rFonts w:ascii="Tahoma" w:hAnsi="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413C5"/>
    <w:rPr>
      <w:rFonts w:ascii="Tahoma" w:eastAsia="Times New Roman" w:hAnsi="Tahoma" w:cs="Times New Roman"/>
      <w:b/>
      <w:bCs/>
      <w:sz w:val="20"/>
      <w:szCs w:val="20"/>
      <w:lang w:eastAsia="fr-FR"/>
    </w:rPr>
  </w:style>
  <w:style w:type="paragraph" w:styleId="Titre">
    <w:name w:val="Title"/>
    <w:basedOn w:val="Normal"/>
    <w:link w:val="TitreCar"/>
    <w:qFormat/>
    <w:rsid w:val="003413C5"/>
    <w:pPr>
      <w:jc w:val="center"/>
    </w:pPr>
    <w:rPr>
      <w:rFonts w:ascii="Comic Sans MS" w:hAnsi="Comic Sans MS"/>
      <w:b/>
      <w:bCs/>
      <w:sz w:val="22"/>
      <w:szCs w:val="22"/>
    </w:rPr>
  </w:style>
  <w:style w:type="character" w:customStyle="1" w:styleId="TitreCar">
    <w:name w:val="Titre Car"/>
    <w:basedOn w:val="Policepardfaut"/>
    <w:link w:val="Titre"/>
    <w:rsid w:val="003413C5"/>
    <w:rPr>
      <w:rFonts w:ascii="Comic Sans MS" w:eastAsia="Times New Roman" w:hAnsi="Comic Sans MS" w:cs="Times New Roman"/>
      <w:b/>
      <w:bCs/>
      <w:lang w:eastAsia="fr-FR"/>
    </w:rPr>
  </w:style>
  <w:style w:type="paragraph" w:styleId="Corpsdetexte3">
    <w:name w:val="Body Text 3"/>
    <w:basedOn w:val="Normal"/>
    <w:link w:val="Corpsdetexte3Car"/>
    <w:rsid w:val="003413C5"/>
    <w:pPr>
      <w:jc w:val="both"/>
    </w:pPr>
    <w:rPr>
      <w:rFonts w:ascii="Tahoma" w:hAnsi="Tahoma"/>
      <w:sz w:val="20"/>
      <w:szCs w:val="20"/>
    </w:rPr>
  </w:style>
  <w:style w:type="character" w:customStyle="1" w:styleId="Corpsdetexte3Car">
    <w:name w:val="Corps de texte 3 Car"/>
    <w:basedOn w:val="Policepardfaut"/>
    <w:link w:val="Corpsdetexte3"/>
    <w:rsid w:val="003413C5"/>
    <w:rPr>
      <w:rFonts w:ascii="Tahoma" w:eastAsia="Times New Roman" w:hAnsi="Tahoma" w:cs="Times New Roman"/>
      <w:sz w:val="20"/>
      <w:szCs w:val="20"/>
      <w:lang w:eastAsia="fr-FR"/>
    </w:rPr>
  </w:style>
  <w:style w:type="character" w:styleId="Lienhypertexte">
    <w:name w:val="Hyperlink"/>
    <w:rsid w:val="003413C5"/>
    <w:rPr>
      <w:color w:val="0000FF"/>
      <w:u w:val="single"/>
    </w:rPr>
  </w:style>
  <w:style w:type="paragraph" w:styleId="Pieddepage">
    <w:name w:val="footer"/>
    <w:basedOn w:val="Normal"/>
    <w:link w:val="PieddepageCar"/>
    <w:rsid w:val="003413C5"/>
    <w:pPr>
      <w:tabs>
        <w:tab w:val="center" w:pos="4536"/>
        <w:tab w:val="right" w:pos="9072"/>
      </w:tabs>
    </w:pPr>
  </w:style>
  <w:style w:type="character" w:customStyle="1" w:styleId="PieddepageCar">
    <w:name w:val="Pied de page Car"/>
    <w:basedOn w:val="Policepardfaut"/>
    <w:link w:val="Pieddepage"/>
    <w:rsid w:val="003413C5"/>
    <w:rPr>
      <w:rFonts w:ascii="Times New Roman" w:eastAsia="Times New Roman" w:hAnsi="Times New Roman" w:cs="Times New Roman"/>
      <w:sz w:val="24"/>
      <w:szCs w:val="24"/>
      <w:lang w:eastAsia="fr-FR"/>
    </w:rPr>
  </w:style>
  <w:style w:type="character" w:styleId="Numrodepage">
    <w:name w:val="page number"/>
    <w:basedOn w:val="Policepardfaut"/>
    <w:rsid w:val="003413C5"/>
  </w:style>
  <w:style w:type="paragraph" w:styleId="Corpsdetexte">
    <w:name w:val="Body Text"/>
    <w:basedOn w:val="Normal"/>
    <w:link w:val="CorpsdetexteCar"/>
    <w:rsid w:val="003413C5"/>
    <w:pPr>
      <w:spacing w:after="120"/>
    </w:pPr>
  </w:style>
  <w:style w:type="character" w:customStyle="1" w:styleId="CorpsdetexteCar">
    <w:name w:val="Corps de texte Car"/>
    <w:basedOn w:val="Policepardfaut"/>
    <w:link w:val="Corpsdetexte"/>
    <w:rsid w:val="003413C5"/>
    <w:rPr>
      <w:rFonts w:ascii="Times New Roman" w:eastAsia="Times New Roman" w:hAnsi="Times New Roman" w:cs="Times New Roman"/>
      <w:sz w:val="24"/>
      <w:szCs w:val="24"/>
      <w:lang w:eastAsia="fr-FR"/>
    </w:rPr>
  </w:style>
  <w:style w:type="paragraph" w:customStyle="1" w:styleId="StyleNB">
    <w:name w:val="Style NB"/>
    <w:basedOn w:val="Corpsdetexte"/>
    <w:qFormat/>
    <w:rsid w:val="003413C5"/>
    <w:pPr>
      <w:spacing w:after="0"/>
      <w:jc w:val="both"/>
    </w:pPr>
    <w:rPr>
      <w:rFonts w:ascii="Eras Medium ITC" w:hAnsi="Eras Medium ITC" w:cs="Arial"/>
      <w:b/>
      <w:bCs/>
      <w:u w:val="single"/>
    </w:rPr>
  </w:style>
  <w:style w:type="paragraph" w:customStyle="1" w:styleId="Corpsdetexte21">
    <w:name w:val="Corps de texte 21"/>
    <w:basedOn w:val="Normal"/>
    <w:rsid w:val="003413C5"/>
    <w:pPr>
      <w:tabs>
        <w:tab w:val="left" w:pos="284"/>
      </w:tabs>
      <w:jc w:val="both"/>
    </w:pPr>
    <w:rPr>
      <w:szCs w:val="20"/>
      <w:lang w:val="fr-CA"/>
    </w:rPr>
  </w:style>
  <w:style w:type="paragraph" w:styleId="Paragraphedeliste">
    <w:name w:val="List Paragraph"/>
    <w:basedOn w:val="Normal"/>
    <w:qFormat/>
    <w:rsid w:val="003413C5"/>
    <w:pPr>
      <w:ind w:left="708"/>
    </w:pPr>
  </w:style>
  <w:style w:type="paragraph" w:styleId="Textedebulles">
    <w:name w:val="Balloon Text"/>
    <w:basedOn w:val="Normal"/>
    <w:link w:val="TextedebullesCar"/>
    <w:uiPriority w:val="99"/>
    <w:semiHidden/>
    <w:unhideWhenUsed/>
    <w:rsid w:val="00C70427"/>
    <w:rPr>
      <w:rFonts w:ascii="Tahoma" w:hAnsi="Tahoma" w:cs="Tahoma"/>
      <w:sz w:val="16"/>
      <w:szCs w:val="16"/>
    </w:rPr>
  </w:style>
  <w:style w:type="character" w:customStyle="1" w:styleId="TextedebullesCar">
    <w:name w:val="Texte de bulles Car"/>
    <w:basedOn w:val="Policepardfaut"/>
    <w:link w:val="Textedebulles"/>
    <w:uiPriority w:val="99"/>
    <w:semiHidden/>
    <w:rsid w:val="00C7042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233;spublics.gov.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1022</Words>
  <Characters>5622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NAJI</dc:creator>
  <cp:keywords/>
  <dc:description/>
  <cp:lastModifiedBy>BAALA Imane</cp:lastModifiedBy>
  <cp:revision>12</cp:revision>
  <cp:lastPrinted>2015-10-27T15:54:00Z</cp:lastPrinted>
  <dcterms:created xsi:type="dcterms:W3CDTF">2014-07-22T10:59:00Z</dcterms:created>
  <dcterms:modified xsi:type="dcterms:W3CDTF">2015-10-28T09:26:00Z</dcterms:modified>
</cp:coreProperties>
</file>